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360" w:after="80"/>
        <w:rPr/>
      </w:pPr>
      <w:bookmarkStart w:id="0" w:name="инструкция-по-установке-по"/>
      <w:r>
        <w:rPr/>
        <w:t>Инструкция по установке ПО</w:t>
      </w:r>
    </w:p>
    <w:p>
      <w:pPr>
        <w:pStyle w:val="FirstParagraph"/>
        <w:rPr/>
      </w:pPr>
      <w:r>
        <w:rPr>
          <w:b/>
          <w:bCs/>
        </w:rPr>
        <w:t>ПО:</w:t>
      </w:r>
      <w:r>
        <w:rPr/>
        <w:t xml:space="preserve"> Корпоративное мобильное приложение (для организаций)</w:t>
      </w:r>
    </w:p>
    <w:p>
      <w:pPr>
        <w:pStyle w:val="Heading2"/>
        <w:rPr/>
      </w:pPr>
      <w:bookmarkStart w:id="1" w:name="аннотация"/>
      <w:r>
        <w:rPr/>
        <w:t>Аннотация</w:t>
      </w:r>
    </w:p>
    <w:p>
      <w:pPr>
        <w:pStyle w:val="FirstParagraph"/>
        <w:rPr/>
      </w:pPr>
      <w:bookmarkStart w:id="2" w:name="аннотация"/>
      <w:r>
        <w:rPr/>
        <w:t>Настоящий документ содержит информацию, необходимую для установки и начала работы ПО «Корпоративное мобильное приложение (для организаций)» на серверной инфраструктуре (развертывание backend API и компонент хранения/кэширования).</w:t>
      </w:r>
      <w:bookmarkEnd w:id="2"/>
    </w:p>
    <w:p>
      <w:pPr>
        <w:pStyle w:val="Heading2"/>
        <w:rPr/>
      </w:pPr>
      <w:bookmarkStart w:id="3" w:name="системные-требования"/>
      <w:r>
        <w:rPr/>
        <w:t>Системные требования</w:t>
      </w:r>
    </w:p>
    <w:p>
      <w:pPr>
        <w:pStyle w:val="FirstParagraph"/>
        <w:rPr/>
      </w:pPr>
      <w:r>
        <w:rPr/>
        <w:t>Для установки и эксплуатации ПО рекомендуются:</w:t>
      </w:r>
    </w:p>
    <w:p>
      <w:pPr>
        <w:pStyle w:val="Compact"/>
        <w:numPr>
          <w:ilvl w:val="0"/>
          <w:numId w:val="1"/>
        </w:numPr>
        <w:rPr/>
      </w:pPr>
      <w:r>
        <w:rPr/>
        <w:t>Операционная система: Linux x86_64;</w:t>
      </w:r>
    </w:p>
    <w:p>
      <w:pPr>
        <w:pStyle w:val="Compact"/>
        <w:numPr>
          <w:ilvl w:val="0"/>
          <w:numId w:val="1"/>
        </w:numPr>
        <w:rPr/>
      </w:pPr>
      <w:r>
        <w:rPr/>
        <w:t>Оперативная память: от 2 Гбайт, рекомендуется 4+ Гбайт;</w:t>
      </w:r>
    </w:p>
    <w:p>
      <w:pPr>
        <w:pStyle w:val="Compact"/>
        <w:numPr>
          <w:ilvl w:val="0"/>
          <w:numId w:val="1"/>
        </w:numPr>
        <w:rPr/>
      </w:pPr>
      <w:r>
        <w:rPr/>
        <w:t>Жесткий диск: от 20 Гбайт, рекомендуется с запасом под данные и медиа;</w:t>
      </w:r>
    </w:p>
    <w:p>
      <w:pPr>
        <w:pStyle w:val="Compact"/>
        <w:numPr>
          <w:ilvl w:val="0"/>
          <w:numId w:val="1"/>
        </w:numPr>
        <w:rPr/>
      </w:pPr>
      <w:bookmarkStart w:id="4" w:name="системные-требования"/>
      <w:r>
        <w:rPr/>
        <w:t>Сеть: доступ к серверу backend API (для администрирования и клиентских запросов).</w:t>
      </w:r>
      <w:bookmarkEnd w:id="4"/>
    </w:p>
    <w:p>
      <w:pPr>
        <w:pStyle w:val="Heading2"/>
        <w:rPr/>
      </w:pPr>
      <w:bookmarkStart w:id="5" w:name="процесс-установки-по"/>
      <w:r>
        <w:rPr/>
        <w:t>Процесс установки ПО</w:t>
      </w:r>
    </w:p>
    <w:p>
      <w:pPr>
        <w:pStyle w:val="FirstParagraph"/>
        <w:rPr/>
      </w:pPr>
      <w:r>
        <w:rPr/>
        <w:t>Установка осуществляется развертыванием компонент с использованием Docker Compose и запуском backend API.</w:t>
      </w:r>
    </w:p>
    <w:p>
      <w:pPr>
        <w:pStyle w:val="Compact"/>
        <w:numPr>
          <w:ilvl w:val="0"/>
          <w:numId w:val="14"/>
        </w:numPr>
        <w:rPr/>
      </w:pPr>
      <w:r>
        <w:rPr/>
        <w:t>Подготовить окружение:</w:t>
      </w:r>
    </w:p>
    <w:p>
      <w:pPr>
        <w:pStyle w:val="Compact"/>
        <w:numPr>
          <w:ilvl w:val="0"/>
          <w:numId w:val="1"/>
        </w:numPr>
        <w:rPr/>
      </w:pPr>
      <w:r>
        <w:rPr/>
        <w:t>установить Docker и Docker Compose;</w:t>
      </w:r>
    </w:p>
    <w:p>
      <w:pPr>
        <w:pStyle w:val="Compact"/>
        <w:numPr>
          <w:ilvl w:val="0"/>
          <w:numId w:val="1"/>
        </w:numPr>
        <w:rPr/>
      </w:pPr>
      <w:r>
        <w:rPr/>
        <w:t>перейти в каталог проекта.</w:t>
      </w:r>
    </w:p>
    <w:p>
      <w:pPr>
        <w:pStyle w:val="Compact"/>
        <w:numPr>
          <w:ilvl w:val="0"/>
          <w:numId w:val="15"/>
        </w:numPr>
        <w:rPr/>
      </w:pPr>
      <w:r>
        <w:rPr/>
        <w:t>Настроить переменные окружения для backend:</w:t>
      </w:r>
    </w:p>
    <w:p>
      <w:pPr>
        <w:pStyle w:val="Compact"/>
        <w:numPr>
          <w:ilvl w:val="0"/>
          <w:numId w:val="1"/>
        </w:numPr>
        <w:rPr/>
      </w:pPr>
      <w:r>
        <w:rPr/>
        <w:t xml:space="preserve">файл окружения расположен в </w:t>
      </w:r>
      <w:r>
        <w:rPr>
          <w:rStyle w:val="VerbatimChar"/>
        </w:rPr>
        <w:t>FlutterApp/backend/.env</w:t>
      </w:r>
      <w:r>
        <w:rPr/>
        <w:t>;</w:t>
      </w:r>
    </w:p>
    <w:p>
      <w:pPr>
        <w:pStyle w:val="Compact"/>
        <w:numPr>
          <w:ilvl w:val="0"/>
          <w:numId w:val="1"/>
        </w:numPr>
        <w:rPr/>
      </w:pPr>
      <w:r>
        <w:rPr/>
        <w:t>при необходимости выполнить корректировку параметров подключения к базе и секретов;</w:t>
      </w:r>
    </w:p>
    <w:p>
      <w:pPr>
        <w:pStyle w:val="Compact"/>
        <w:numPr>
          <w:ilvl w:val="0"/>
          <w:numId w:val="1"/>
        </w:numPr>
        <w:rPr/>
      </w:pPr>
      <w:r>
        <w:rPr/>
        <w:t>проверить параметры интеграции с Active Directory (AD) для входа пользователей.</w:t>
      </w:r>
    </w:p>
    <w:p>
      <w:pPr>
        <w:pStyle w:val="Compact"/>
        <w:numPr>
          <w:ilvl w:val="0"/>
          <w:numId w:val="16"/>
        </w:numPr>
        <w:rPr/>
      </w:pPr>
      <w:r>
        <w:rPr/>
        <w:t>Развернуть зависимости (PostgreSQL и Redis):</w:t>
      </w:r>
    </w:p>
    <w:p>
      <w:pPr>
        <w:pStyle w:val="SourceCode"/>
        <w:rPr/>
      </w:pPr>
      <w:r>
        <w:rPr>
          <w:rStyle w:val="BuiltInTok"/>
        </w:rPr>
        <w:t>cd</w:t>
      </w:r>
      <w:r>
        <w:rPr>
          <w:rStyle w:val="NormalTok"/>
        </w:rPr>
        <w:t xml:space="preserve"> FlutterApp</w:t>
      </w:r>
      <w:r>
        <w:rPr/>
        <w:br/>
      </w:r>
      <w:r>
        <w:rPr>
          <w:rStyle w:val="ExtensionTok"/>
        </w:rPr>
        <w:t>docker-compose</w:t>
      </w:r>
      <w:r>
        <w:rPr>
          <w:rStyle w:val="NormalTok"/>
        </w:rPr>
        <w:t xml:space="preserve"> up </w:t>
      </w:r>
      <w:r>
        <w:rPr>
          <w:rStyle w:val="AttributeTok"/>
        </w:rPr>
        <w:t>-d</w:t>
      </w:r>
      <w:r>
        <w:rPr>
          <w:rStyle w:val="NormalTok"/>
        </w:rPr>
        <w:t xml:space="preserve"> postgres redis</w:t>
      </w:r>
    </w:p>
    <w:p>
      <w:pPr>
        <w:pStyle w:val="Compact"/>
        <w:numPr>
          <w:ilvl w:val="0"/>
          <w:numId w:val="17"/>
        </w:numPr>
        <w:rPr/>
      </w:pPr>
      <w:r>
        <w:rPr/>
        <w:t>Применить миграции БД:</w:t>
      </w:r>
    </w:p>
    <w:p>
      <w:pPr>
        <w:pStyle w:val="SourceCode"/>
        <w:rPr/>
      </w:pPr>
      <w:r>
        <w:rPr>
          <w:rStyle w:val="BuiltInTok"/>
        </w:rPr>
        <w:t>cd</w:t>
      </w:r>
      <w:r>
        <w:rPr>
          <w:rStyle w:val="NormalTok"/>
        </w:rPr>
        <w:t xml:space="preserve"> FlutterApp/backend</w:t>
      </w:r>
      <w:r>
        <w:rPr/>
        <w:br/>
      </w:r>
      <w:r>
        <w:rPr>
          <w:rStyle w:val="ExtensionTok"/>
        </w:rPr>
        <w:t>alembic</w:t>
      </w:r>
      <w:r>
        <w:rPr>
          <w:rStyle w:val="NormalTok"/>
        </w:rPr>
        <w:t xml:space="preserve"> upgrade head</w:t>
      </w:r>
    </w:p>
    <w:p>
      <w:pPr>
        <w:pStyle w:val="FirstParagraph"/>
        <w:rPr/>
      </w:pPr>
      <w:r>
        <w:rPr/>
        <w:t xml:space="preserve">(при запуске из виртуального окружения предварительно активировать </w:t>
      </w:r>
      <w:r>
        <w:rPr>
          <w:rStyle w:val="VerbatimChar"/>
        </w:rPr>
        <w:t>venv</w:t>
      </w:r>
      <w:r>
        <w:rPr/>
        <w:t>).</w:t>
      </w:r>
    </w:p>
    <w:p>
      <w:pPr>
        <w:pStyle w:val="Compact"/>
        <w:numPr>
          <w:ilvl w:val="0"/>
          <w:numId w:val="18"/>
        </w:numPr>
        <w:rPr/>
      </w:pPr>
      <w:r>
        <w:rPr/>
        <w:t>Запустить backend API:</w:t>
      </w:r>
    </w:p>
    <w:p>
      <w:pPr>
        <w:pStyle w:val="SourceCode"/>
        <w:rPr/>
      </w:pPr>
      <w:r>
        <w:rPr>
          <w:rStyle w:val="BuiltInTok"/>
        </w:rPr>
        <w:t>cd</w:t>
      </w:r>
      <w:r>
        <w:rPr>
          <w:rStyle w:val="NormalTok"/>
        </w:rPr>
        <w:t xml:space="preserve"> FlutterApp/backend</w:t>
      </w:r>
      <w:r>
        <w:rPr/>
        <w:br/>
      </w:r>
      <w:r>
        <w:rPr>
          <w:rStyle w:val="ExtensionTok"/>
        </w:rPr>
        <w:t>uvicorn</w:t>
      </w:r>
      <w:r>
        <w:rPr>
          <w:rStyle w:val="NormalTok"/>
        </w:rPr>
        <w:t xml:space="preserve"> app.main:app </w:t>
      </w:r>
      <w:r>
        <w:rPr>
          <w:rStyle w:val="AttributeTok"/>
        </w:rPr>
        <w:t>--host</w:t>
      </w:r>
      <w:r>
        <w:rPr>
          <w:rStyle w:val="NormalTok"/>
        </w:rPr>
        <w:t xml:space="preserve"> 0.0.0.0 </w:t>
      </w:r>
      <w:r>
        <w:rPr>
          <w:rStyle w:val="AttributeTok"/>
        </w:rPr>
        <w:t>--port</w:t>
      </w:r>
      <w:r>
        <w:rPr>
          <w:rStyle w:val="NormalTok"/>
        </w:rPr>
        <w:t xml:space="preserve"> 8000</w:t>
      </w:r>
    </w:p>
    <w:p>
      <w:pPr>
        <w:pStyle w:val="FirstParagraph"/>
        <w:rPr/>
      </w:pPr>
      <w:r>
        <w:rPr/>
        <w:t xml:space="preserve">Доступ к документации API: </w:t>
      </w:r>
      <w:r>
        <w:rPr>
          <w:rStyle w:val="VerbatimChar"/>
        </w:rPr>
        <w:t>http://&lt;host&gt;:8000/docs</w:t>
      </w:r>
      <w:r>
        <w:rPr/>
        <w:t>.</w:t>
      </w:r>
    </w:p>
    <w:p>
      <w:pPr>
        <w:pStyle w:val="Compact"/>
        <w:numPr>
          <w:ilvl w:val="0"/>
          <w:numId w:val="19"/>
        </w:numPr>
        <w:rPr/>
      </w:pPr>
      <w:r>
        <w:rPr/>
        <w:t>(При необходимости) Подготовить мобильный клиент:</w:t>
      </w:r>
    </w:p>
    <w:p>
      <w:pPr>
        <w:pStyle w:val="SourceCode"/>
        <w:rPr/>
      </w:pPr>
      <w:r>
        <w:rPr>
          <w:rStyle w:val="BuiltInTok"/>
        </w:rPr>
        <w:t>cd</w:t>
      </w:r>
      <w:r>
        <w:rPr>
          <w:rStyle w:val="NormalTok"/>
        </w:rPr>
        <w:t xml:space="preserve"> FlutterApp/mobile</w:t>
      </w:r>
      <w:r>
        <w:rPr/>
        <w:br/>
      </w:r>
      <w:r>
        <w:rPr>
          <w:rStyle w:val="ExtensionTok"/>
        </w:rPr>
        <w:t>flutter</w:t>
      </w:r>
      <w:r>
        <w:rPr>
          <w:rStyle w:val="NormalTok"/>
        </w:rPr>
        <w:t xml:space="preserve"> build apk </w:t>
      </w:r>
      <w:r>
        <w:rPr>
          <w:rStyle w:val="AttributeTok"/>
        </w:rPr>
        <w:t>--release</w:t>
      </w:r>
      <w:bookmarkEnd w:id="5"/>
    </w:p>
    <w:p>
      <w:pPr>
        <w:pStyle w:val="Heading2"/>
        <w:rPr/>
      </w:pPr>
      <w:bookmarkStart w:id="6" w:name="процесс-завершения-работы-по"/>
      <w:r>
        <w:rPr/>
        <w:t>Процесс завершения работы ПО</w:t>
      </w:r>
    </w:p>
    <w:p>
      <w:pPr>
        <w:pStyle w:val="FirstParagraph"/>
        <w:rPr/>
      </w:pPr>
      <w:r>
        <w:rPr/>
        <w:t>Для остановки компонент:</w:t>
      </w:r>
    </w:p>
    <w:p>
      <w:pPr>
        <w:pStyle w:val="Compact"/>
        <w:numPr>
          <w:ilvl w:val="0"/>
          <w:numId w:val="20"/>
        </w:numPr>
        <w:rPr/>
      </w:pPr>
      <w:r>
        <w:rPr/>
        <w:t xml:space="preserve">Остановить backend API (если запущен вручную через </w:t>
      </w:r>
      <w:r>
        <w:rPr>
          <w:rStyle w:val="VerbatimChar"/>
        </w:rPr>
        <w:t>uvicorn</w:t>
      </w:r>
      <w:r>
        <w:rPr/>
        <w:t>):</w:t>
      </w:r>
    </w:p>
    <w:p>
      <w:pPr>
        <w:pStyle w:val="Compact"/>
        <w:numPr>
          <w:ilvl w:val="0"/>
          <w:numId w:val="1"/>
        </w:numPr>
        <w:rPr/>
      </w:pPr>
      <w:r>
        <w:rPr/>
        <w:t>остановить процесс сервера (CTRL+C в терминале или остановка системной службы, если применялась).</w:t>
      </w:r>
    </w:p>
    <w:p>
      <w:pPr>
        <w:pStyle w:val="Compact"/>
        <w:numPr>
          <w:ilvl w:val="0"/>
          <w:numId w:val="21"/>
        </w:numPr>
        <w:rPr/>
      </w:pPr>
      <w:r>
        <w:rPr/>
        <w:t>Остановить контейнеры PostgreSQL и Redis:</w:t>
      </w:r>
    </w:p>
    <w:p>
      <w:pPr>
        <w:pStyle w:val="SourceCode"/>
        <w:spacing w:before="0" w:after="200"/>
        <w:rPr/>
      </w:pPr>
      <w:r>
        <w:rPr>
          <w:rStyle w:val="BuiltInTok"/>
        </w:rPr>
        <w:t>cd</w:t>
      </w:r>
      <w:r>
        <w:rPr>
          <w:rStyle w:val="NormalTok"/>
        </w:rPr>
        <w:t xml:space="preserve"> FlutterApp</w:t>
      </w:r>
      <w:r>
        <w:rPr/>
        <w:br/>
      </w:r>
      <w:r>
        <w:rPr>
          <w:rStyle w:val="ExtensionTok"/>
        </w:rPr>
        <w:t>docker-compose</w:t>
      </w:r>
      <w:r>
        <w:rPr>
          <w:rStyle w:val="NormalTok"/>
        </w:rPr>
        <w:t xml:space="preserve"> stop postgres redis</w:t>
      </w:r>
      <w:bookmarkEnd w:id="0"/>
      <w:bookmarkEnd w:id="6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2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2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2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2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2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3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3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3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3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3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3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3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3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4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4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4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4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4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4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4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4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5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5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5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5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5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5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5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9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6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6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6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6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6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6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6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6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1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2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2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2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2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2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2"/>
    <w:lvlOverride w:ilvl="0">
      <w:startOverride w:val="1"/>
    </w:lvlOverride>
  </w:num>
  <w:num w:numId="15">
    <w:abstractNumId w:val="4"/>
    <w:lvlOverride w:ilvl="0">
      <w:startOverride w:val="2"/>
    </w:lvlOverride>
  </w:num>
  <w:num w:numId="16">
    <w:abstractNumId w:val="6"/>
    <w:lvlOverride w:ilvl="0">
      <w:startOverride w:val="3"/>
    </w:lvlOverride>
  </w:num>
  <w:num w:numId="17">
    <w:abstractNumId w:val="7"/>
    <w:lvlOverride w:ilvl="0">
      <w:startOverride w:val="4"/>
    </w:lvlOverride>
  </w:num>
  <w:num w:numId="18">
    <w:abstractNumId w:val="8"/>
    <w:lvlOverride w:ilvl="0">
      <w:startOverride w:val="5"/>
    </w:lvlOverride>
  </w:num>
  <w:num w:numId="19">
    <w:abstractNumId w:val="9"/>
    <w:lvlOverride w:ilvl="0">
      <w:startOverride w:val="6"/>
    </w:lvlOverride>
  </w:num>
  <w:num w:numId="20">
    <w:abstractNumId w:val="2"/>
    <w:lvlOverride w:ilvl="0">
      <w:startOverride w:val="1"/>
    </w:lvlOverride>
  </w:num>
  <w:num w:numId="21">
    <w:abstractNumId w:val="4"/>
    <w:lvlOverride w:ilvl="0">
      <w:startOverride w:val="2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LibreOffice/25.8.5.2$Linux_X86_64 LibreOffice_project/580$Build-2</Application>
  <AppVersion>15.0000</AppVersion>
  <Pages>2</Pages>
  <Words>249</Words>
  <Characters>1692</Characters>
  <CharactersWithSpaces>1885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2026-03-25T08:19:32Z</dcterms:created>
  <dc:creator/>
  <dc:description/>
  <dc:language>ru-RU</dc:language>
  <cp:lastModifiedBy/>
  <dcterms:modified xsi:type="dcterms:W3CDTF">2026-03-25T16:58:41Z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